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137</w:t>
      </w:r>
    </w:p>
    <w:p>
      <w:r>
        <w:t>Bundesgericht (BGE), 1997-03-11, DE</w:t>
      </w:r>
    </w:p>
    <w:p>
      <w:r>
        <w:rPr>
          <w:b/>
        </w:rPr>
        <w:t xml:space="preserve">Quelle: </w:t>
      </w:r>
      <w:r>
        <w:t>https://mcp.opencaselaw.ch/entscheid/bge_123 III 137</w:t>
      </w:r>
    </w:p>
    <w:p>
      <w:r>
        <w:t>FR: ATF 123 III 137</w:t>
      </w:r>
    </w:p>
    <w:p>
      <w:r>
        <w:t>IT: DTF 123 III 137</w:t>
      </w:r>
    </w:p>
    <w:p>
      <w:pPr>
        <w:pStyle w:val="Heading2"/>
      </w:pPr>
      <w:r>
        <w:t>Regeste</w:t>
      </w:r>
    </w:p>
    <w:p>
      <w:r>
        <w:t>Regeste Art. 46 Abs. 2 SchKG; Betreibungsort bei Verlegung des Sitzes einer Aktiengesellschaft. Verlegt eine in Betreibung gesetzte Aktiengesellschaft ihren Sitz, so gilt als Betreibungsort im Sinne von Art. 46 Abs. 2 SchKG der bisherige Sitz bis zum Zeitpunkt, wo er im dortigen Handelsregister gelöscht worden ist.</w:t>
      </w:r>
    </w:p>
    <w:p>
      <w:pPr>
        <w:pStyle w:val="Heading2"/>
      </w:pPr>
      <w:r>
        <w:t>Erwägungen</w:t>
      </w:r>
    </w:p>
    <w:p>
      <w:r>
        <w:rPr>
          <w:b/>
        </w:rPr>
        <w:t>E. 3</w:t>
      </w:r>
    </w:p>
    <w:p>
      <w:r>
        <w:t>a) Die Beschwerdeführerin beruft sich, nicht anders als die kantonale Aufsichtsbehörde, auf BGE 116 III 1 ; und beide Seiten sind sich darüber einig, dass es bei einer Sitzverlegung einer Aktiengesellschaft entgegen der sonst geltenden Regel ( Art. 932 Abs. 2 OR ) nicht auf die Publikation im schweizerischen Handelsamtsblatt ankommt, wenn der Betreibungsort im Sinne von Art. 46 Abs. 2 SchKG zu bestimmen ist (so auch - aber nicht weitergehend - Gilliéron, Poursuite pour dettes, faillite et concordat, 3. Auflage 1993, S. 83). Während nun aber im angefochtenen Entscheid die Auffassung vertreten wird, die Sitzverlegung werde mit der Eintragung der Löschung des bisherigen Sitzes im Handelsregister wirksam, hält die Beschwerdeführerin dafür, die Sitzverlegung werde mit deren Eintrag sowie mit dem Eintrag der Firmenänderung im Handelsregister des neuen Sitzes - im vorliegenden Fall also in jenem von Zürich - wirksam. Entgegen der Darstellung der Beschwerdeführerin ist indessen dem zitierten BGE 116 III 1 (Seite 4) zu entnehmen, dass bei der Bestimmung des Betreibungsortes auf den Zeitpunkt abzustellen ist, wo der bisherige Sitz der in Betreibung gesetzten Aktiengesellschaft im Handelsregister des bisherigen Sitzes gelöscht worden ist. Im Lichte dieser Rechtsprechung erweist sich daher die von der kantonalen Aufsichtsbehörde vertretene Rechtsauffassung als bundesrechtskonform. b) Vergeblich ruft die Beschwerdeführerin Art. 647 OR an, indem sie geltend macht, dass mit der von der kantonalen Aufsichtsbehörde vertretenen Auffassung ein doppelter Sitz der Aktiengesellschaft in Kauf genommen werde. Es geht indessen nicht allgemein um das Problem des Sitzes einer Aktiengesellschaft, sondern nur um die Frage, welches der Sitz - und somit der Betreibungsort - im Sinne BGE 123 III 137 S. 139 von Art. 46 Abs. 2 SchKG bei Verlegung des Sitzes einer Aktiengesellschaft ist. Dem kurzfristigen Nebeneinander von bisherigem und neuem Sitz wird in Art. 49 HRegV (SR 221.411) Rechnung getragen. Doch kann sich die Beschwerdeführerin zur Untermauerung ihres Rechtsstandpunktes nicht auf diese Bestimmung berufen; denn sie weist die den Sitz verlegende Firma sowie den Registerführer an, was im Falle der Sitzverlegung vorzukehren ist, und bestimmt den Registerinhalt. Für die Beantwortung der Frage nach dem Betreibungsort kann daraus nichts abgeleitet werden.</w:t>
      </w:r>
    </w:p>
    <w:p>
      <w:r>
        <w:rPr>
          <w:b/>
        </w:rPr>
        <w:t>E. 4</w:t>
      </w:r>
    </w:p>
    <w:p>
      <w:r>
        <w:t>Der Sachverhalt ist für die Schuldbetreibungs- und Konkurskammer verbindlich festgestellt worden (Art. 63 Abs. 2 in Verbindung mit Art. 81 OG ) und im übrigen unbestritten: Der Sitz der Schweizerischen Volksbank ist am 22. Januar 1997 im Handelsregister Bern-Mittelland gelöscht worden. Am 8. Januar 1997 ist der Zahlungsbefehl vom Betreibungsamt Bern in der Betreibung Nr. 9'652'650 der Schweizerischen Volksbank zugestellt worden. Diese Zustellung noch vor der Löschung im Handelsregister am bisherigen Sitz der Schuldnerin war, wie die Aufsichtsbehörde in Betreibungs- und Konkurssachen für den Kanton Bern zu Recht erkannt hat,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